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15E7A246" w:rsidR="00FB046B" w:rsidRDefault="002F5A61">
      <w:pPr>
        <w:pStyle w:val="ConsPlusNormal"/>
        <w:ind w:firstLine="540"/>
        <w:jc w:val="both"/>
        <w:rPr>
          <w:u w:val="single"/>
        </w:rPr>
      </w:pPr>
      <w:r>
        <w:rPr>
          <w:b/>
          <w:sz w:val="24"/>
        </w:rPr>
        <w:t xml:space="preserve">           </w:t>
      </w:r>
      <w:bookmarkStart w:id="0" w:name="_GoBack"/>
      <w:bookmarkEnd w:id="0"/>
    </w:p>
    <w:p w14:paraId="03000000" w14:textId="77777777" w:rsidR="00FB046B" w:rsidRDefault="002F5A61">
      <w:pPr>
        <w:pStyle w:val="ConsPlusNormal"/>
        <w:ind w:firstLine="540"/>
        <w:jc w:val="both"/>
        <w:rPr>
          <w:b/>
          <w:color w:val="2E3CED"/>
          <w:sz w:val="24"/>
        </w:rPr>
      </w:pPr>
      <w:r>
        <w:rPr>
          <w:b/>
          <w:sz w:val="24"/>
        </w:rPr>
        <w:t>Вопрос:</w:t>
      </w:r>
      <w:r>
        <w:rPr>
          <w:sz w:val="24"/>
        </w:rPr>
        <w:t xml:space="preserve"> </w:t>
      </w:r>
      <w:r>
        <w:rPr>
          <w:b/>
          <w:color w:val="2E3CED"/>
          <w:sz w:val="24"/>
        </w:rPr>
        <w:t xml:space="preserve">Об НДФЛ при продаже единственной квартиры, находившейся в собственности более трех лет; о ставках НДФЛ; о налоге на имущество физлиц и транспортном налоге в отношении предметов </w:t>
      </w:r>
      <w:r>
        <w:rPr>
          <w:b/>
          <w:color w:val="2E3CED"/>
          <w:sz w:val="24"/>
        </w:rPr>
        <w:t>роскоши.</w:t>
      </w:r>
    </w:p>
    <w:p w14:paraId="04000000" w14:textId="77777777" w:rsidR="00FB046B" w:rsidRDefault="00FB046B">
      <w:pPr>
        <w:pStyle w:val="ConsPlusNormal"/>
        <w:jc w:val="both"/>
        <w:outlineLvl w:val="0"/>
        <w:rPr>
          <w:color w:val="2E3CED"/>
          <w:sz w:val="24"/>
        </w:rPr>
      </w:pPr>
    </w:p>
    <w:p w14:paraId="05000000" w14:textId="77777777" w:rsidR="00FB046B" w:rsidRDefault="002F5A61">
      <w:pPr>
        <w:pStyle w:val="ConsPlusNormal"/>
        <w:ind w:firstLine="540"/>
        <w:jc w:val="both"/>
        <w:rPr>
          <w:sz w:val="24"/>
        </w:rPr>
      </w:pPr>
      <w:r>
        <w:rPr>
          <w:b/>
          <w:sz w:val="24"/>
        </w:rPr>
        <w:t>Ответ</w:t>
      </w:r>
      <w:proofErr w:type="gramStart"/>
      <w:r>
        <w:rPr>
          <w:b/>
          <w:sz w:val="24"/>
        </w:rPr>
        <w:t xml:space="preserve"> :</w:t>
      </w:r>
      <w:proofErr w:type="gramEnd"/>
    </w:p>
    <w:p w14:paraId="06000000" w14:textId="77777777" w:rsidR="00FB046B" w:rsidRDefault="002F5A61">
      <w:pPr>
        <w:pStyle w:val="ConsPlusTitle"/>
        <w:spacing w:before="200"/>
        <w:jc w:val="center"/>
        <w:rPr>
          <w:sz w:val="24"/>
        </w:rPr>
      </w:pPr>
      <w:r>
        <w:rPr>
          <w:sz w:val="24"/>
        </w:rPr>
        <w:t>МИНИСТЕРСТВО ФИНАНСОВ РОССИЙСКОЙ ФЕДЕРАЦИИ</w:t>
      </w:r>
    </w:p>
    <w:p w14:paraId="07000000" w14:textId="77777777" w:rsidR="00FB046B" w:rsidRDefault="00FB046B">
      <w:pPr>
        <w:pStyle w:val="ConsPlusTitle"/>
        <w:jc w:val="center"/>
        <w:rPr>
          <w:sz w:val="24"/>
        </w:rPr>
      </w:pPr>
    </w:p>
    <w:p w14:paraId="08000000" w14:textId="77777777" w:rsidR="00FB046B" w:rsidRDefault="002F5A61">
      <w:pPr>
        <w:pStyle w:val="ConsPlusTitle"/>
        <w:jc w:val="center"/>
        <w:rPr>
          <w:sz w:val="24"/>
        </w:rPr>
      </w:pPr>
      <w:r>
        <w:rPr>
          <w:sz w:val="24"/>
        </w:rPr>
        <w:t>ПИСЬМО</w:t>
      </w:r>
    </w:p>
    <w:p w14:paraId="09000000" w14:textId="77777777" w:rsidR="00FB046B" w:rsidRDefault="002F5A61">
      <w:pPr>
        <w:pStyle w:val="ConsPlusTitle"/>
        <w:jc w:val="center"/>
        <w:rPr>
          <w:sz w:val="24"/>
        </w:rPr>
      </w:pPr>
      <w:r>
        <w:rPr>
          <w:sz w:val="24"/>
        </w:rPr>
        <w:t>от 28 января 2020 г. N 03-04-05/5058</w:t>
      </w:r>
    </w:p>
    <w:p w14:paraId="0A000000" w14:textId="77777777" w:rsidR="00FB046B" w:rsidRDefault="00FB046B">
      <w:pPr>
        <w:pStyle w:val="ConsPlusNormal"/>
        <w:jc w:val="both"/>
        <w:rPr>
          <w:sz w:val="24"/>
        </w:rPr>
      </w:pPr>
    </w:p>
    <w:p w14:paraId="0B000000" w14:textId="77777777" w:rsidR="00FB046B" w:rsidRDefault="002F5A61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Департамент налоговой и таможенной политики рассмотрел обращение по вопросам налогообложения и сообщает следующее.</w:t>
      </w:r>
    </w:p>
    <w:p w14:paraId="0C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Согласно </w:t>
      </w:r>
      <w:hyperlink r:id="rId5" w:tooltip="" w:history="1">
        <w:r>
          <w:rPr>
            <w:color w:val="0000FF"/>
            <w:sz w:val="24"/>
          </w:rPr>
          <w:t>пункту 1 статьи 3</w:t>
        </w:r>
      </w:hyperlink>
      <w:r>
        <w:rPr>
          <w:sz w:val="24"/>
        </w:rPr>
        <w:t xml:space="preserve"> Налогового кодекса Российской Федерации (далее - Кодекс) каждое лицо должно уплачивать законно установленные налоги и сборы. Эта </w:t>
      </w:r>
      <w:hyperlink r:id="rId6" w:tooltip="" w:history="1">
        <w:r>
          <w:rPr>
            <w:color w:val="0000FF"/>
            <w:sz w:val="24"/>
          </w:rPr>
          <w:t>норма</w:t>
        </w:r>
      </w:hyperlink>
      <w:r>
        <w:rPr>
          <w:sz w:val="24"/>
        </w:rPr>
        <w:t xml:space="preserve"> развивает закрепленную в </w:t>
      </w:r>
      <w:hyperlink r:id="rId7" w:tooltip="" w:history="1">
        <w:r>
          <w:rPr>
            <w:color w:val="0000FF"/>
            <w:sz w:val="24"/>
          </w:rPr>
          <w:t>статье 57</w:t>
        </w:r>
      </w:hyperlink>
      <w:r>
        <w:rPr>
          <w:sz w:val="24"/>
        </w:rPr>
        <w:t xml:space="preserve"> Конституции Российской Федерации конституционно-правовую обяза</w:t>
      </w:r>
      <w:r>
        <w:rPr>
          <w:sz w:val="24"/>
        </w:rPr>
        <w:t>нность каждого платить законно установленные налоги и сборы.</w:t>
      </w:r>
    </w:p>
    <w:p w14:paraId="0D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Доходы, полученные от продажи недвижимого имущества, подлежат налогообложению в общеустановленном порядке в соответствии с </w:t>
      </w:r>
      <w:hyperlink r:id="rId8" w:tooltip="" w:history="1">
        <w:r>
          <w:rPr>
            <w:color w:val="0000FF"/>
            <w:sz w:val="24"/>
          </w:rPr>
          <w:t>главой 23</w:t>
        </w:r>
      </w:hyperlink>
      <w:r>
        <w:rPr>
          <w:sz w:val="24"/>
        </w:rPr>
        <w:t xml:space="preserve"> "Налог на доходы физических лиц" Кодекса.</w:t>
      </w:r>
    </w:p>
    <w:p w14:paraId="0E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proofErr w:type="gramStart"/>
      <w:r>
        <w:rPr>
          <w:sz w:val="24"/>
        </w:rPr>
        <w:t xml:space="preserve">На основании </w:t>
      </w:r>
      <w:hyperlink r:id="rId9" w:tooltip="" w:history="1">
        <w:r>
          <w:rPr>
            <w:color w:val="0000FF"/>
            <w:sz w:val="24"/>
          </w:rPr>
          <w:t>пункта 17.1 ст</w:t>
        </w:r>
        <w:r>
          <w:rPr>
            <w:color w:val="0000FF"/>
            <w:sz w:val="24"/>
          </w:rPr>
          <w:t>атьи 217</w:t>
        </w:r>
      </w:hyperlink>
      <w:r>
        <w:rPr>
          <w:sz w:val="24"/>
        </w:rPr>
        <w:t xml:space="preserve"> и </w:t>
      </w:r>
      <w:hyperlink r:id="rId10" w:tooltip="" w:history="1">
        <w:r>
          <w:rPr>
            <w:color w:val="0000FF"/>
            <w:sz w:val="24"/>
          </w:rPr>
          <w:t>пункта 2 статьи 217.1</w:t>
        </w:r>
      </w:hyperlink>
      <w:r>
        <w:rPr>
          <w:sz w:val="24"/>
        </w:rPr>
        <w:t xml:space="preserve"> Кодекса освобождаются от налогообложения доходы, получаемые физическими лицами за соответствующ</w:t>
      </w:r>
      <w:r>
        <w:rPr>
          <w:sz w:val="24"/>
        </w:rPr>
        <w:t>ий налоговый период от продажи объектов недвижимого имущества, а также долей в указанном имуществе, при условии, что такой объект находился в собственности налогоплательщика в течение минимального предельного срока владения объектом недвижимого имущества и</w:t>
      </w:r>
      <w:r>
        <w:rPr>
          <w:sz w:val="24"/>
        </w:rPr>
        <w:t xml:space="preserve"> более.</w:t>
      </w:r>
      <w:proofErr w:type="gramEnd"/>
    </w:p>
    <w:p w14:paraId="0F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В соответствии с </w:t>
      </w:r>
      <w:hyperlink r:id="rId11" w:tooltip="" w:history="1">
        <w:r>
          <w:rPr>
            <w:color w:val="0000FF"/>
            <w:sz w:val="24"/>
          </w:rPr>
          <w:t>пунктом 4 статьи 217.1</w:t>
        </w:r>
      </w:hyperlink>
      <w:r>
        <w:rPr>
          <w:sz w:val="24"/>
        </w:rPr>
        <w:t xml:space="preserve"> Кодекса в случаях, не указанных в </w:t>
      </w:r>
      <w:hyperlink r:id="rId12" w:tooltip="" w:history="1">
        <w:r>
          <w:rPr>
            <w:color w:val="0000FF"/>
            <w:sz w:val="24"/>
          </w:rPr>
          <w:t>пункте 3 статьи 217.1</w:t>
        </w:r>
      </w:hyperlink>
      <w:r>
        <w:rPr>
          <w:sz w:val="24"/>
        </w:rPr>
        <w:t xml:space="preserve"> Кодекса, минимальный предельный срок владения объектом недвижимого имущества составляет пять лет.</w:t>
      </w:r>
    </w:p>
    <w:p w14:paraId="10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proofErr w:type="gramStart"/>
      <w:r>
        <w:rPr>
          <w:sz w:val="24"/>
        </w:rPr>
        <w:t xml:space="preserve">В частности, </w:t>
      </w:r>
      <w:hyperlink r:id="rId13" w:tooltip="" w:history="1">
        <w:r>
          <w:rPr>
            <w:color w:val="0000FF"/>
            <w:sz w:val="24"/>
          </w:rPr>
          <w:t>подпунктом 4 пункта 3 статьи 217.1</w:t>
        </w:r>
      </w:hyperlink>
      <w:r>
        <w:rPr>
          <w:sz w:val="24"/>
        </w:rPr>
        <w:t xml:space="preserve"> Кодекса (в редакции Федерального закона от 26.07.2019 N 210-ФЗ "О внесении изменений в часть вторую Налогового кодекса Российской Федерации и о</w:t>
      </w:r>
      <w:r>
        <w:rPr>
          <w:sz w:val="24"/>
        </w:rPr>
        <w:t xml:space="preserve">тдельные законодательные акты Российской Федерации") установлено, что в целях </w:t>
      </w:r>
      <w:hyperlink r:id="rId14" w:tooltip="" w:history="1">
        <w:r>
          <w:rPr>
            <w:color w:val="0000FF"/>
            <w:sz w:val="24"/>
          </w:rPr>
          <w:t>статьи 217.1</w:t>
        </w:r>
      </w:hyperlink>
      <w:r>
        <w:rPr>
          <w:sz w:val="24"/>
        </w:rPr>
        <w:t xml:space="preserve"> Кодекса минимальный предельный срок влад</w:t>
      </w:r>
      <w:r>
        <w:rPr>
          <w:sz w:val="24"/>
        </w:rPr>
        <w:t>ения объектом недвижимого имущества составляет три года в случае, если в собственности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налогоплательщика (включая совместную собственность супругов) на дату государственной регистрации перехода права собственности от налогоплательщика к покупателю на прода</w:t>
      </w:r>
      <w:r>
        <w:rPr>
          <w:sz w:val="24"/>
        </w:rPr>
        <w:t>нный объект недвижимого имущества в виде комнаты, квартиры, жилого дома, части квартиры, части жилого дома (далее в настоящем подпункте - жилое помещение) или доли в праве собственности на жилое помещение не находится иного жилого помещения (доли в праве с</w:t>
      </w:r>
      <w:r>
        <w:rPr>
          <w:sz w:val="24"/>
        </w:rPr>
        <w:t>обственности на жилое помещение).</w:t>
      </w:r>
      <w:proofErr w:type="gramEnd"/>
    </w:p>
    <w:p w14:paraId="11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proofErr w:type="gramStart"/>
      <w:r>
        <w:rPr>
          <w:sz w:val="24"/>
        </w:rPr>
        <w:t xml:space="preserve">При этом в целях </w:t>
      </w:r>
      <w:hyperlink r:id="rId15" w:tooltip="" w:history="1">
        <w:r>
          <w:rPr>
            <w:color w:val="0000FF"/>
            <w:sz w:val="24"/>
          </w:rPr>
          <w:t>подпункта 4 пункта 3 статьи 217.1</w:t>
        </w:r>
      </w:hyperlink>
      <w:r>
        <w:rPr>
          <w:sz w:val="24"/>
        </w:rPr>
        <w:t xml:space="preserve"> Кодекса не учитывается жилое помещение (доля в</w:t>
      </w:r>
      <w:r>
        <w:rPr>
          <w:sz w:val="24"/>
        </w:rPr>
        <w:t xml:space="preserve"> праве собственности на жилое помещение), приобретенное (приобретенная) в собственность налогоплательщика и (или) его супруга (супруги) в течение 90 календарных дней до даты государственной регистрации перехода права собственности на проданное жилое помеще</w:t>
      </w:r>
      <w:r>
        <w:rPr>
          <w:sz w:val="24"/>
        </w:rPr>
        <w:t>ние (проданную долю в праве собственности на жилое помещение) от налогоплательщика к покупателю.</w:t>
      </w:r>
      <w:proofErr w:type="gramEnd"/>
    </w:p>
    <w:p w14:paraId="12000000" w14:textId="77777777" w:rsidR="00FB046B" w:rsidRDefault="00FB046B">
      <w:pPr>
        <w:pStyle w:val="ConsPlusNormal"/>
        <w:spacing w:before="200"/>
        <w:ind w:firstLine="540"/>
        <w:jc w:val="both"/>
        <w:rPr>
          <w:sz w:val="24"/>
        </w:rPr>
      </w:pPr>
    </w:p>
    <w:p w14:paraId="13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Таким образом, при соблюдении вышеуказанных условий доход от продажи единственной квартиры, находившейся в собственности налогоплательщика более трех лет, осв</w:t>
      </w:r>
      <w:r>
        <w:rPr>
          <w:sz w:val="24"/>
        </w:rPr>
        <w:t>обождается от обложения налогом на доходы физических лиц.</w:t>
      </w:r>
    </w:p>
    <w:p w14:paraId="14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proofErr w:type="gramStart"/>
      <w:r>
        <w:rPr>
          <w:sz w:val="24"/>
        </w:rPr>
        <w:t>Вместе с тем в части введения прогрессивной шкалы налоговых ставок по налогу на доходы физических лиц сообщаем, что с 1 января 1992 года по 31 декабря 2000 года в Российской Федерации применялась пр</w:t>
      </w:r>
      <w:r>
        <w:rPr>
          <w:sz w:val="24"/>
        </w:rPr>
        <w:t>огрессивная шкала налоговых ставок, которая пересматривалась несколько раз и в разные годы имела от трех до семи диапазонов совокупного годового дохода, облагаемого по налоговым ставкам от 12 до</w:t>
      </w:r>
      <w:proofErr w:type="gramEnd"/>
      <w:r>
        <w:rPr>
          <w:sz w:val="24"/>
        </w:rPr>
        <w:t xml:space="preserve"> 35 процентов. </w:t>
      </w:r>
      <w:proofErr w:type="gramStart"/>
      <w:r>
        <w:rPr>
          <w:sz w:val="24"/>
        </w:rPr>
        <w:t>Стремление работодателей и работников минимизир</w:t>
      </w:r>
      <w:r>
        <w:rPr>
          <w:sz w:val="24"/>
        </w:rPr>
        <w:t>овать реально выплачиваемые (получаемые) доходы в целях снижения налоговой нагрузки, а также сложности администрирования налогообложения доходов граждан, в том числе работающих по совместительству, выявили неэффективность действовавшего порядка налогооблож</w:t>
      </w:r>
      <w:r>
        <w:rPr>
          <w:sz w:val="24"/>
        </w:rPr>
        <w:t>ения доходов физических лиц и применения прогрессивной шкалы налоговых ставок независимо от их величины и тем самым способствовали переходу к единой налоговой ставке.</w:t>
      </w:r>
      <w:proofErr w:type="gramEnd"/>
    </w:p>
    <w:p w14:paraId="15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Введение с 1 января 2001 года ставки налога на доходы физических лиц в размере 13 процент</w:t>
      </w:r>
      <w:r>
        <w:rPr>
          <w:sz w:val="24"/>
        </w:rPr>
        <w:t>ов для большинства видов доходов способствовало увеличению поступления налога на доходы физических лиц в бюджетную систему Российской Федерации. Для доходов, не связанных с работой по найму и выполнением налогоплательщиком работ (оказанием услуг), Кодексом</w:t>
      </w:r>
      <w:r>
        <w:rPr>
          <w:sz w:val="24"/>
        </w:rPr>
        <w:t xml:space="preserve"> установлена повышенная ставка в размере 35 процентов.</w:t>
      </w:r>
    </w:p>
    <w:p w14:paraId="16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При этом </w:t>
      </w:r>
      <w:hyperlink r:id="rId16" w:tooltip="" w:history="1">
        <w:r>
          <w:rPr>
            <w:color w:val="0000FF"/>
            <w:sz w:val="24"/>
          </w:rPr>
          <w:t>главой 23</w:t>
        </w:r>
      </w:hyperlink>
      <w:r>
        <w:rPr>
          <w:sz w:val="24"/>
        </w:rPr>
        <w:t xml:space="preserve"> "Налог на доходы физических лиц" Кодекса определены вид</w:t>
      </w:r>
      <w:r>
        <w:rPr>
          <w:sz w:val="24"/>
        </w:rPr>
        <w:t>ы доходов, при получении которых у налогоплательщика не возникает обязанность по уплате налога, в том числе установлены стандартные, социальные, имущественные и профессиональные налоговые вычеты, которые направлены на существенное снижение налогового бреме</w:t>
      </w:r>
      <w:r>
        <w:rPr>
          <w:sz w:val="24"/>
        </w:rPr>
        <w:t>ни налогоплательщиков.</w:t>
      </w:r>
    </w:p>
    <w:p w14:paraId="17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Кроме того, единая ставка налогообложения в размере 13 процентов является фактором инвестиционной привлекательности Российской Федерации и значительно упрощает исчисление и уплату налога, его администрирование налоговыми органами.</w:t>
      </w:r>
    </w:p>
    <w:p w14:paraId="18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Су</w:t>
      </w:r>
      <w:r>
        <w:rPr>
          <w:sz w:val="24"/>
        </w:rPr>
        <w:t xml:space="preserve">ществующая на сегодняшний день система обложения налогом на доходы физических лиц позволяет говорить о сбалансированном подходе, учитывающем </w:t>
      </w:r>
      <w:proofErr w:type="gramStart"/>
      <w:r>
        <w:rPr>
          <w:sz w:val="24"/>
        </w:rPr>
        <w:t>интересы</w:t>
      </w:r>
      <w:proofErr w:type="gramEnd"/>
      <w:r>
        <w:rPr>
          <w:sz w:val="24"/>
        </w:rPr>
        <w:t xml:space="preserve"> как налогоплательщиков, так и бюджетной системы Российской Федерации.</w:t>
      </w:r>
    </w:p>
    <w:p w14:paraId="19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Основными </w:t>
      </w:r>
      <w:hyperlink r:id="rId17" w:tooltip="" w:history="1">
        <w:r>
          <w:rPr>
            <w:color w:val="0000FF"/>
            <w:sz w:val="24"/>
          </w:rPr>
          <w:t>направлениями</w:t>
        </w:r>
      </w:hyperlink>
      <w:r>
        <w:rPr>
          <w:sz w:val="24"/>
        </w:rPr>
        <w:t xml:space="preserve"> бюджетной, налоговой и таможенно-тарифной политики Российской Федерации на 2020 год и на плановый период 2021 и 2022 годов введение прогрессивной шкалы налогообложения доходов физических лиц не преду</w:t>
      </w:r>
      <w:r>
        <w:rPr>
          <w:sz w:val="24"/>
        </w:rPr>
        <w:t>смотрено.</w:t>
      </w:r>
    </w:p>
    <w:p w14:paraId="1A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Также </w:t>
      </w:r>
      <w:hyperlink r:id="rId18" w:tooltip="" w:history="1">
        <w:r>
          <w:rPr>
            <w:color w:val="0000FF"/>
            <w:sz w:val="24"/>
          </w:rPr>
          <w:t>Кодексом</w:t>
        </w:r>
      </w:hyperlink>
      <w:r>
        <w:rPr>
          <w:sz w:val="24"/>
        </w:rPr>
        <w:t xml:space="preserve"> уже предусмотрено повышенное налогообложение объектов недвижимости и транспортных средств, отнесенных к предметам роскоши.</w:t>
      </w:r>
    </w:p>
    <w:p w14:paraId="1B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Так</w:t>
      </w:r>
      <w:r>
        <w:rPr>
          <w:sz w:val="24"/>
        </w:rPr>
        <w:t xml:space="preserve">, </w:t>
      </w:r>
      <w:hyperlink r:id="rId19" w:tooltip="" w:history="1">
        <w:r>
          <w:rPr>
            <w:color w:val="0000FF"/>
            <w:sz w:val="24"/>
          </w:rPr>
          <w:t>главой 32</w:t>
        </w:r>
      </w:hyperlink>
      <w:r>
        <w:rPr>
          <w:sz w:val="24"/>
        </w:rPr>
        <w:t xml:space="preserve"> "Налог на имущество физических лиц" Кодекса предусмотрено повышенное налогообложение налогом на имущество физических ли</w:t>
      </w:r>
      <w:r>
        <w:rPr>
          <w:sz w:val="24"/>
        </w:rPr>
        <w:t xml:space="preserve">ц зданий, сооружений, жилых и нежилых помещений, гаражей и </w:t>
      </w:r>
      <w:proofErr w:type="spellStart"/>
      <w:r>
        <w:rPr>
          <w:sz w:val="24"/>
        </w:rPr>
        <w:t>машино</w:t>
      </w:r>
      <w:proofErr w:type="spellEnd"/>
      <w:r>
        <w:rPr>
          <w:sz w:val="24"/>
        </w:rPr>
        <w:t xml:space="preserve">-мест, кадастровая стоимость каждого из которых превышает 300 </w:t>
      </w:r>
      <w:proofErr w:type="gramStart"/>
      <w:r>
        <w:rPr>
          <w:sz w:val="24"/>
        </w:rPr>
        <w:t>млн</w:t>
      </w:r>
      <w:proofErr w:type="gramEnd"/>
      <w:r>
        <w:rPr>
          <w:sz w:val="24"/>
        </w:rPr>
        <w:t xml:space="preserve"> рублей. В отношении таких объектов предельная налоговая ставка составляет 2 процента кадастровой стоимости.</w:t>
      </w:r>
    </w:p>
    <w:p w14:paraId="1C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Кроме того, в цел</w:t>
      </w:r>
      <w:r>
        <w:rPr>
          <w:sz w:val="24"/>
        </w:rPr>
        <w:t xml:space="preserve">ях недопущения возможных злоупотреблений со стороны налогоплательщиков, </w:t>
      </w:r>
      <w:proofErr w:type="gramStart"/>
      <w:r>
        <w:rPr>
          <w:sz w:val="24"/>
        </w:rPr>
        <w:t>выражающихся</w:t>
      </w:r>
      <w:proofErr w:type="gramEnd"/>
      <w:r>
        <w:rPr>
          <w:sz w:val="24"/>
        </w:rPr>
        <w:t xml:space="preserve"> в том числе в переоформлении имущества на лиц, отнесенных к льготным категориям, на федеральном уровне предусмотрены ограничения </w:t>
      </w:r>
    </w:p>
    <w:p w14:paraId="1D000000" w14:textId="77777777" w:rsidR="00FB046B" w:rsidRDefault="00FB046B">
      <w:pPr>
        <w:pStyle w:val="ConsPlusNormal"/>
        <w:spacing w:before="200"/>
        <w:ind w:firstLine="540"/>
        <w:jc w:val="both"/>
        <w:rPr>
          <w:sz w:val="24"/>
        </w:rPr>
      </w:pPr>
    </w:p>
    <w:p w14:paraId="1E000000" w14:textId="77777777" w:rsidR="00FB046B" w:rsidRDefault="002F5A61">
      <w:pPr>
        <w:pStyle w:val="ConsPlusNormal"/>
        <w:spacing w:before="200"/>
        <w:jc w:val="both"/>
        <w:rPr>
          <w:sz w:val="24"/>
        </w:rPr>
      </w:pPr>
      <w:r>
        <w:rPr>
          <w:sz w:val="24"/>
        </w:rPr>
        <w:t>применения налоговых льгот, а именно: ль</w:t>
      </w:r>
      <w:r>
        <w:rPr>
          <w:sz w:val="24"/>
        </w:rPr>
        <w:t xml:space="preserve">гота предоставляется только в отношении одного объекта каждого вида по выбору налогоплательщика (квартиры, части квартиры (либо комнаты), жилого дома, части жилого дома, гаража или </w:t>
      </w:r>
      <w:proofErr w:type="spellStart"/>
      <w:r>
        <w:rPr>
          <w:sz w:val="24"/>
        </w:rPr>
        <w:t>машино</w:t>
      </w:r>
      <w:proofErr w:type="spellEnd"/>
      <w:r>
        <w:rPr>
          <w:sz w:val="24"/>
        </w:rPr>
        <w:t>-места), не используемого в предпринимательской деятельности.</w:t>
      </w:r>
    </w:p>
    <w:p w14:paraId="1F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Таким о</w:t>
      </w:r>
      <w:r>
        <w:rPr>
          <w:sz w:val="24"/>
        </w:rPr>
        <w:t>бразом, физические лица, владеющие несколькими объектами недвижимости одного вида, освобождаются от уплаты налога только в отношении одного из таких объектов.</w:t>
      </w:r>
    </w:p>
    <w:p w14:paraId="20000000" w14:textId="77777777" w:rsidR="00FB046B" w:rsidRDefault="002F5A61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В отношении дорогих легковых автомобилей (стоимостью от 3 </w:t>
      </w:r>
      <w:proofErr w:type="gramStart"/>
      <w:r>
        <w:rPr>
          <w:sz w:val="24"/>
        </w:rPr>
        <w:t>млн</w:t>
      </w:r>
      <w:proofErr w:type="gramEnd"/>
      <w:r>
        <w:rPr>
          <w:sz w:val="24"/>
        </w:rPr>
        <w:t xml:space="preserve"> рублей) </w:t>
      </w:r>
      <w:hyperlink r:id="rId20" w:tooltip="" w:history="1">
        <w:r>
          <w:rPr>
            <w:sz w:val="24"/>
          </w:rPr>
          <w:t>главой 28</w:t>
        </w:r>
      </w:hyperlink>
      <w:r>
        <w:rPr>
          <w:sz w:val="24"/>
        </w:rPr>
        <w:t xml:space="preserve"> "Транспортный налог" Кодекса предусмотрено применение повышающих коэффициентов при исчислении транспортного налога.</w:t>
      </w:r>
    </w:p>
    <w:p w14:paraId="21000000" w14:textId="77777777" w:rsidR="00FB046B" w:rsidRDefault="00FB046B">
      <w:pPr>
        <w:pStyle w:val="ConsPlusNormal"/>
        <w:jc w:val="both"/>
        <w:rPr>
          <w:sz w:val="24"/>
        </w:rPr>
      </w:pPr>
    </w:p>
    <w:p w14:paraId="22000000" w14:textId="77777777" w:rsidR="00FB046B" w:rsidRDefault="002F5A61">
      <w:pPr>
        <w:pStyle w:val="ConsPlusNormal"/>
        <w:jc w:val="right"/>
        <w:rPr>
          <w:sz w:val="24"/>
        </w:rPr>
      </w:pPr>
      <w:r>
        <w:rPr>
          <w:sz w:val="24"/>
        </w:rPr>
        <w:t>Заместитель директора Департамент</w:t>
      </w:r>
      <w:r>
        <w:rPr>
          <w:sz w:val="24"/>
        </w:rPr>
        <w:t>а</w:t>
      </w:r>
    </w:p>
    <w:p w14:paraId="23000000" w14:textId="77777777" w:rsidR="00FB046B" w:rsidRDefault="002F5A61">
      <w:pPr>
        <w:pStyle w:val="ConsPlusNormal"/>
        <w:jc w:val="right"/>
        <w:rPr>
          <w:sz w:val="24"/>
        </w:rPr>
      </w:pPr>
      <w:r>
        <w:rPr>
          <w:sz w:val="24"/>
        </w:rPr>
        <w:t>Р.А.СААКЯН</w:t>
      </w:r>
    </w:p>
    <w:p w14:paraId="24000000" w14:textId="77777777" w:rsidR="00FB046B" w:rsidRDefault="002F5A61">
      <w:pPr>
        <w:pStyle w:val="ConsPlusNormal"/>
        <w:rPr>
          <w:sz w:val="24"/>
        </w:rPr>
      </w:pPr>
      <w:r>
        <w:rPr>
          <w:sz w:val="24"/>
        </w:rPr>
        <w:t>28.01.2020</w:t>
      </w:r>
    </w:p>
    <w:p w14:paraId="25000000" w14:textId="77777777" w:rsidR="00FB046B" w:rsidRDefault="00FB046B">
      <w:pPr>
        <w:pStyle w:val="ConsPlusNormal"/>
        <w:jc w:val="both"/>
        <w:rPr>
          <w:sz w:val="24"/>
        </w:rPr>
      </w:pPr>
    </w:p>
    <w:p w14:paraId="26000000" w14:textId="77777777" w:rsidR="00FB046B" w:rsidRDefault="00FB046B">
      <w:pPr>
        <w:pStyle w:val="ConsPlusNormal"/>
        <w:jc w:val="both"/>
        <w:rPr>
          <w:sz w:val="24"/>
        </w:rPr>
      </w:pPr>
    </w:p>
    <w:p w14:paraId="27000000" w14:textId="77777777" w:rsidR="00FB046B" w:rsidRDefault="00FB046B">
      <w:pPr>
        <w:pStyle w:val="ConsPlusNormal"/>
        <w:spacing w:before="100" w:after="100"/>
        <w:jc w:val="both"/>
        <w:rPr>
          <w:sz w:val="24"/>
        </w:rPr>
      </w:pPr>
    </w:p>
    <w:sectPr w:rsidR="00FB046B">
      <w:pgSz w:w="11906" w:h="16838"/>
      <w:pgMar w:top="731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046B"/>
    <w:rsid w:val="001C772C"/>
    <w:rsid w:val="002F5A61"/>
    <w:rsid w:val="00FB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0"/>
      <w:u w:val="none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extList0">
    <w:name w:val="ConsPlusTextList_0"/>
    <w:link w:val="ConsPlusTextList00"/>
    <w:pPr>
      <w:widowControl w:val="0"/>
    </w:pPr>
    <w:rPr>
      <w:rFonts w:ascii="Arial" w:hAnsi="Arial"/>
    </w:rPr>
  </w:style>
  <w:style w:type="character" w:customStyle="1" w:styleId="ConsPlusTextList00">
    <w:name w:val="ConsPlusTextList_0"/>
    <w:link w:val="ConsPlusTextList0"/>
    <w:rPr>
      <w:rFonts w:ascii="Arial" w:hAnsi="Arial"/>
      <w:b w:val="0"/>
      <w:i w:val="0"/>
      <w:strike w:val="0"/>
      <w:sz w:val="20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TextList">
    <w:name w:val="ConsPlusTextList"/>
    <w:link w:val="ConsPlusTextList1"/>
    <w:pPr>
      <w:widowControl w:val="0"/>
    </w:pPr>
    <w:rPr>
      <w:rFonts w:ascii="Arial" w:hAnsi="Arial"/>
    </w:rPr>
  </w:style>
  <w:style w:type="character" w:customStyle="1" w:styleId="ConsPlusTextList1">
    <w:name w:val="ConsPlusTextList"/>
    <w:link w:val="ConsPlusTextList"/>
    <w:rPr>
      <w:rFonts w:ascii="Arial" w:hAnsi="Arial"/>
      <w:b w:val="0"/>
      <w:i w:val="0"/>
      <w:strike w:val="0"/>
      <w:sz w:val="20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strike w:val="0"/>
      <w:sz w:val="20"/>
      <w:u w:val="none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0"/>
      <w:u w:val="none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  <w:link w:val="ConsPlusDocList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  <w:b w:val="0"/>
      <w:i w:val="0"/>
      <w:strike w:val="0"/>
      <w:sz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5BF07D8AC79BB6F0962F9E0890EC9B3F948F25050EDFB989EE6752C09FEB78E20D1FB1A249A58152579247A30F54D6A3B6A464F6CDF770j8jCF" TargetMode="External"/><Relationship Id="rId13" Type="http://schemas.openxmlformats.org/officeDocument/2006/relationships/hyperlink" Target="consultantplus://offline/ref=035BF07D8AC79BB6F0962F9E0890EC9B3F948F25050EDFB989EE6752C09FEB78E20D1FB1A54FA48050089752B25759D0BBA8A37DEACFF5j7j2F" TargetMode="External"/><Relationship Id="rId18" Type="http://schemas.openxmlformats.org/officeDocument/2006/relationships/hyperlink" Target="consultantplus://offline/ref=035BF07D8AC79BB6F0962F9E0890EC9B3F948F25050EDFB989EE6752C09FEB78F00D47BDA24EBB875C42C416E5j5jA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35BF07D8AC79BB6F0962F9E0890EC9B3E988A23085988BBD8BB6957C8CFA368AC4812B0A049A18C0F0D8243EA5A5FC8A5AFBA61E8CDjFj7F" TargetMode="External"/><Relationship Id="rId12" Type="http://schemas.openxmlformats.org/officeDocument/2006/relationships/hyperlink" Target="consultantplus://offline/ref=035BF07D8AC79BB6F0962F9E0890EC9B3F948F25050EDFB989EE6752C09FEB78E20D1FB1A34FA08450089752B25759D0BBA8A37DEACFF5j7j2F" TargetMode="External"/><Relationship Id="rId17" Type="http://schemas.openxmlformats.org/officeDocument/2006/relationships/hyperlink" Target="consultantplus://offline/ref=035BF07D8AC79BB6F0962F9E0890EC9B3F9389210309DFB989EE6752C09FEB78F00D47BDA24EBB875C42C416E5j5j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5BF07D8AC79BB6F0962F9E0890EC9B3F948F25050EDFB989EE6752C09FEB78E20D1FB1A249A58152579247A30F54D6A3B6A464F6CDF770j8jCF" TargetMode="External"/><Relationship Id="rId20" Type="http://schemas.openxmlformats.org/officeDocument/2006/relationships/hyperlink" Target="consultantplus://offline/ref=035BF07D8AC79BB6F0962F9E0890EC9B3F948F25050EDFB989EE6752C09FEB78E20D1FB8A641A08C0F0D8243EA5A5FC8A5AFBA61E8CDjFj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5BF07D8AC79BB6F0962F9E0890EC9B3F928A2E010ADFB989EE6752C09FEB78E20D1FB1A248A5855C579247A30F54D6A3B6A464F6CDF770j8jCF" TargetMode="External"/><Relationship Id="rId11" Type="http://schemas.openxmlformats.org/officeDocument/2006/relationships/hyperlink" Target="consultantplus://offline/ref=035BF07D8AC79BB6F0962F9E0890EC9B3F948F25050EDFB989EE6752C09FEB78E20D1FB1A34FA08050089752B25759D0BBA8A37DEACFF5j7j2F" TargetMode="External"/><Relationship Id="rId5" Type="http://schemas.openxmlformats.org/officeDocument/2006/relationships/hyperlink" Target="consultantplus://offline/ref=035BF07D8AC79BB6F0962F9E0890EC9B3F928A2E010ADFB989EE6752C09FEB78E20D1FB1A248A5855C579247A30F54D6A3B6A464F6CDF770j8jCF" TargetMode="External"/><Relationship Id="rId15" Type="http://schemas.openxmlformats.org/officeDocument/2006/relationships/hyperlink" Target="consultantplus://offline/ref=035BF07D8AC79BB6F0962F9E0890EC9B3F948F25050EDFB989EE6752C09FEB78E20D1FB1A54FA48050089752B25759D0BBA8A37DEACFF5j7j2F" TargetMode="External"/><Relationship Id="rId10" Type="http://schemas.openxmlformats.org/officeDocument/2006/relationships/hyperlink" Target="consultantplus://offline/ref=035BF07D8AC79BB6F0962F9E0890EC9B3F948F25050EDFB989EE6752C09FEB78E20D1FB1A34FA08550089752B25759D0BBA8A37DEACFF5j7j2F" TargetMode="External"/><Relationship Id="rId19" Type="http://schemas.openxmlformats.org/officeDocument/2006/relationships/hyperlink" Target="consultantplus://offline/ref=035BF07D8AC79BB6F0962F9E0890EC9B3F948F25050EDFB989EE6752C09FEB78E20D1FB1A24BA38250089752B25759D0BBA8A37DEACFF5j7j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5BF07D8AC79BB6F0962F9E0890EC9B3F948F25050EDFB989EE6752C09FEB78E20D1FB1A34FA18150089752B25759D0BBA8A37DEACFF5j7j2F" TargetMode="External"/><Relationship Id="rId14" Type="http://schemas.openxmlformats.org/officeDocument/2006/relationships/hyperlink" Target="consultantplus://offline/ref=035BF07D8AC79BB6F0962F9E0890EC9B3F948F25050EDFB989EE6752C09FEB78E20D1FB1A34FA08750089752B25759D0BBA8A37DEACFF5j7j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11111111111111111111</cp:lastModifiedBy>
  <cp:revision>3</cp:revision>
  <dcterms:created xsi:type="dcterms:W3CDTF">2020-07-07T06:10:00Z</dcterms:created>
  <dcterms:modified xsi:type="dcterms:W3CDTF">2020-07-07T06:11:00Z</dcterms:modified>
</cp:coreProperties>
</file>